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24" w:rsidRDefault="008773A1">
      <w:pPr>
        <w:pStyle w:val="Standard"/>
        <w:spacing w:before="12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-272520</wp:posOffset>
            </wp:positionH>
            <wp:positionV relativeFrom="paragraph">
              <wp:posOffset>129600</wp:posOffset>
            </wp:positionV>
            <wp:extent cx="905399" cy="707400"/>
            <wp:effectExtent l="0" t="0" r="0" b="0"/>
            <wp:wrapNone/>
            <wp:docPr id="1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399" cy="707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bCs/>
          <w:color w:val="0070C0"/>
          <w:sz w:val="44"/>
          <w:szCs w:val="44"/>
          <w:u w:val="single"/>
        </w:rPr>
        <w:t>新竹縣政府稅捐</w:t>
      </w:r>
      <w:proofErr w:type="gramStart"/>
      <w:r>
        <w:rPr>
          <w:rFonts w:ascii="標楷體" w:eastAsia="標楷體" w:hAnsi="標楷體"/>
          <w:b/>
          <w:bCs/>
          <w:color w:val="0070C0"/>
          <w:sz w:val="44"/>
          <w:szCs w:val="44"/>
          <w:u w:val="single"/>
        </w:rPr>
        <w:t>稽徵局</w:t>
      </w:r>
      <w:proofErr w:type="gramEnd"/>
      <w:r>
        <w:rPr>
          <w:rFonts w:ascii="標楷體" w:eastAsia="標楷體" w:hAnsi="標楷體"/>
          <w:b/>
          <w:bCs/>
          <w:color w:val="0070C0"/>
          <w:sz w:val="44"/>
          <w:szCs w:val="44"/>
          <w:u w:val="single"/>
        </w:rPr>
        <w:t>統計通報</w:t>
      </w:r>
    </w:p>
    <w:p w:rsidR="00FF3924" w:rsidRDefault="008773A1">
      <w:pPr>
        <w:pStyle w:val="Standard"/>
        <w:spacing w:before="120"/>
        <w:jc w:val="center"/>
      </w:pPr>
      <w:r>
        <w:rPr>
          <w:rFonts w:ascii="標楷體" w:eastAsia="標楷體" w:hAnsi="標楷體"/>
          <w:b/>
          <w:bCs/>
          <w:sz w:val="32"/>
        </w:rPr>
        <w:t xml:space="preserve">             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108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年度房屋稅概況</w:t>
      </w:r>
      <w:r>
        <w:rPr>
          <w:rFonts w:ascii="標楷體" w:eastAsia="標楷體" w:hAnsi="標楷體"/>
          <w:b/>
          <w:bCs/>
          <w:sz w:val="32"/>
        </w:rPr>
        <w:t xml:space="preserve">        </w:t>
      </w:r>
      <w:r>
        <w:rPr>
          <w:rFonts w:ascii="標楷體" w:eastAsia="標楷體" w:hAnsi="標楷體"/>
          <w:b/>
          <w:bCs/>
          <w:sz w:val="20"/>
          <w:szCs w:val="20"/>
        </w:rPr>
        <w:t>108</w:t>
      </w:r>
      <w:r>
        <w:rPr>
          <w:rFonts w:ascii="標楷體" w:eastAsia="標楷體" w:hAnsi="標楷體"/>
          <w:b/>
          <w:bCs/>
          <w:sz w:val="20"/>
          <w:szCs w:val="20"/>
        </w:rPr>
        <w:t>年第三季</w:t>
      </w:r>
    </w:p>
    <w:p w:rsidR="00FF3924" w:rsidRDefault="00FF3924">
      <w:pPr>
        <w:pStyle w:val="Standard"/>
        <w:spacing w:before="280" w:line="360" w:lineRule="auto"/>
        <w:ind w:firstLine="641"/>
        <w:jc w:val="both"/>
      </w:pPr>
      <w:r w:rsidRPr="00FF3924">
        <w:pict>
          <v:line id="直線接點 3" o:spid="_x0000_s1027" style="position:absolute;left:0;text-align:left;z-index:-251656192;visibility:visible;mso-wrap-style:none;v-text-anchor:top-center" from="3.85pt,5.3pt" to="422.25pt,5.95pt" strokecolor="#4579b8" strokeweight="0">
            <v:textbox style="mso-rotate-with-shape:t" inset="0,0,0,0">
              <w:txbxContent>
                <w:p w:rsidR="00FF3924" w:rsidRDefault="00FF3924"/>
              </w:txbxContent>
            </v:textbox>
          </v:line>
        </w:pict>
      </w:r>
      <w:bookmarkStart w:id="0" w:name="_GoBack"/>
      <w:bookmarkEnd w:id="0"/>
      <w:r w:rsidR="008773A1">
        <w:rPr>
          <w:rFonts w:ascii="標楷體" w:eastAsia="標楷體" w:hAnsi="標楷體"/>
          <w:sz w:val="28"/>
        </w:rPr>
        <w:t>本縣</w:t>
      </w:r>
      <w:r w:rsidR="008773A1">
        <w:rPr>
          <w:rFonts w:ascii="標楷體" w:eastAsia="標楷體" w:hAnsi="標楷體"/>
          <w:sz w:val="28"/>
        </w:rPr>
        <w:t>108</w:t>
      </w:r>
      <w:r w:rsidR="008773A1">
        <w:rPr>
          <w:rFonts w:ascii="標楷體" w:eastAsia="標楷體" w:hAnsi="標楷體"/>
          <w:sz w:val="28"/>
        </w:rPr>
        <w:t>年</w:t>
      </w:r>
      <w:r w:rsidR="008773A1">
        <w:rPr>
          <w:rFonts w:ascii="標楷體" w:eastAsia="標楷體" w:hAnsi="標楷體"/>
          <w:sz w:val="28"/>
        </w:rPr>
        <w:t>6</w:t>
      </w:r>
      <w:r w:rsidR="008773A1">
        <w:rPr>
          <w:rFonts w:ascii="標楷體" w:eastAsia="標楷體" w:hAnsi="標楷體"/>
          <w:sz w:val="28"/>
        </w:rPr>
        <w:t>月底房屋稅累計實徵淨額約</w:t>
      </w:r>
      <w:r w:rsidR="008773A1">
        <w:rPr>
          <w:rFonts w:ascii="標楷體" w:eastAsia="標楷體" w:hAnsi="標楷體"/>
          <w:sz w:val="28"/>
        </w:rPr>
        <w:t>19.89</w:t>
      </w:r>
      <w:r w:rsidR="008773A1">
        <w:rPr>
          <w:rFonts w:ascii="標楷體" w:eastAsia="標楷體" w:hAnsi="標楷體"/>
          <w:sz w:val="28"/>
        </w:rPr>
        <w:t>億元，較同期分配預算數超徵約</w:t>
      </w:r>
      <w:r w:rsidR="008773A1">
        <w:rPr>
          <w:rFonts w:ascii="標楷體" w:eastAsia="標楷體" w:hAnsi="標楷體"/>
          <w:sz w:val="28"/>
        </w:rPr>
        <w:t>2.94</w:t>
      </w:r>
      <w:r w:rsidR="008773A1">
        <w:rPr>
          <w:rFonts w:ascii="標楷體" w:eastAsia="標楷體" w:hAnsi="標楷體"/>
          <w:sz w:val="28"/>
        </w:rPr>
        <w:t>億元</w:t>
      </w:r>
      <w:r w:rsidR="008773A1">
        <w:rPr>
          <w:rFonts w:ascii="標楷體" w:eastAsia="標楷體" w:hAnsi="標楷體"/>
          <w:sz w:val="28"/>
        </w:rPr>
        <w:t>(</w:t>
      </w:r>
      <w:r w:rsidR="008773A1">
        <w:rPr>
          <w:rFonts w:ascii="標楷體" w:eastAsia="標楷體" w:hAnsi="標楷體"/>
          <w:sz w:val="28"/>
        </w:rPr>
        <w:t>達成率</w:t>
      </w:r>
      <w:r w:rsidR="008773A1">
        <w:rPr>
          <w:rFonts w:ascii="標楷體" w:eastAsia="標楷體" w:hAnsi="標楷體"/>
          <w:sz w:val="28"/>
        </w:rPr>
        <w:t>117.37%)</w:t>
      </w:r>
      <w:r w:rsidR="008773A1">
        <w:rPr>
          <w:rFonts w:ascii="標楷體" w:eastAsia="標楷體" w:hAnsi="標楷體"/>
          <w:sz w:val="28"/>
        </w:rPr>
        <w:t>，並較</w:t>
      </w:r>
      <w:r w:rsidR="008773A1">
        <w:rPr>
          <w:rFonts w:ascii="標楷體" w:eastAsia="標楷體" w:hAnsi="標楷體"/>
          <w:sz w:val="28"/>
        </w:rPr>
        <w:t>107</w:t>
      </w:r>
      <w:r w:rsidR="008773A1">
        <w:rPr>
          <w:rFonts w:ascii="標楷體" w:eastAsia="標楷體" w:hAnsi="標楷體"/>
          <w:sz w:val="28"/>
        </w:rPr>
        <w:t>年同期累計實徵淨額增加約</w:t>
      </w:r>
      <w:r w:rsidR="008773A1">
        <w:rPr>
          <w:rFonts w:ascii="標楷體" w:eastAsia="標楷體" w:hAnsi="標楷體"/>
          <w:sz w:val="28"/>
        </w:rPr>
        <w:t>5.51%(+1.04</w:t>
      </w:r>
      <w:r w:rsidR="008773A1">
        <w:rPr>
          <w:rFonts w:ascii="標楷體" w:eastAsia="標楷體" w:hAnsi="標楷體"/>
          <w:sz w:val="28"/>
        </w:rPr>
        <w:t>億元</w:t>
      </w:r>
      <w:r w:rsidR="008773A1">
        <w:rPr>
          <w:rFonts w:ascii="標楷體" w:eastAsia="標楷體" w:hAnsi="標楷體"/>
          <w:sz w:val="28"/>
        </w:rPr>
        <w:t>)</w:t>
      </w:r>
      <w:r w:rsidR="008773A1">
        <w:rPr>
          <w:rFonts w:ascii="標楷體" w:eastAsia="標楷體" w:hAnsi="標楷體"/>
          <w:sz w:val="28"/>
        </w:rPr>
        <w:t>。</w:t>
      </w:r>
    </w:p>
    <w:p w:rsidR="00FF3924" w:rsidRDefault="008773A1">
      <w:pPr>
        <w:pStyle w:val="Standard"/>
        <w:spacing w:before="280" w:line="360" w:lineRule="auto"/>
        <w:ind w:firstLine="560"/>
        <w:jc w:val="both"/>
      </w:pPr>
      <w:r>
        <w:rPr>
          <w:rFonts w:ascii="標楷體" w:eastAsia="標楷體" w:hAnsi="標楷體"/>
          <w:sz w:val="28"/>
        </w:rPr>
        <w:t>108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/>
          <w:sz w:val="28"/>
        </w:rPr>
        <w:t>月底本縣房屋棟數為</w:t>
      </w:r>
      <w:r>
        <w:rPr>
          <w:rFonts w:ascii="標楷體" w:eastAsia="標楷體" w:hAnsi="標楷體"/>
          <w:sz w:val="28"/>
        </w:rPr>
        <w:t>248,229</w:t>
      </w:r>
      <w:r>
        <w:rPr>
          <w:rFonts w:ascii="標楷體" w:eastAsia="標楷體" w:hAnsi="標楷體"/>
          <w:sz w:val="28"/>
        </w:rPr>
        <w:t>棟，面積約</w:t>
      </w:r>
      <w:r>
        <w:rPr>
          <w:rFonts w:ascii="標楷體" w:eastAsia="標楷體" w:hAnsi="標楷體"/>
          <w:sz w:val="28"/>
        </w:rPr>
        <w:t>6,439.68</w:t>
      </w:r>
      <w:r>
        <w:rPr>
          <w:rFonts w:ascii="標楷體" w:eastAsia="標楷體" w:hAnsi="標楷體"/>
          <w:sz w:val="28"/>
        </w:rPr>
        <w:t>萬平方公尺，現值約</w:t>
      </w:r>
      <w:r>
        <w:rPr>
          <w:rFonts w:ascii="標楷體" w:eastAsia="標楷體" w:hAnsi="標楷體"/>
          <w:sz w:val="28"/>
        </w:rPr>
        <w:t>1,860.53</w:t>
      </w:r>
      <w:r>
        <w:rPr>
          <w:rFonts w:ascii="標楷體" w:eastAsia="標楷體" w:hAnsi="標楷體"/>
          <w:sz w:val="28"/>
        </w:rPr>
        <w:t>億元，分別較</w:t>
      </w:r>
      <w:r>
        <w:rPr>
          <w:rFonts w:ascii="標楷體" w:eastAsia="標楷體" w:hAnsi="標楷體"/>
          <w:sz w:val="28"/>
        </w:rPr>
        <w:t>107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/>
          <w:sz w:val="28"/>
        </w:rPr>
        <w:t>月底增加</w:t>
      </w:r>
      <w:r>
        <w:rPr>
          <w:rFonts w:ascii="標楷體" w:eastAsia="標楷體" w:hAnsi="標楷體"/>
          <w:sz w:val="28"/>
        </w:rPr>
        <w:t>2.29</w:t>
      </w:r>
      <w:r>
        <w:rPr>
          <w:rFonts w:ascii="標楷體" w:eastAsia="標楷體" w:hAnsi="標楷體"/>
          <w:sz w:val="28"/>
        </w:rPr>
        <w:t>％、</w:t>
      </w:r>
      <w:r>
        <w:rPr>
          <w:rFonts w:ascii="標楷體" w:eastAsia="標楷體" w:hAnsi="標楷體"/>
          <w:sz w:val="28"/>
        </w:rPr>
        <w:t>2.01</w:t>
      </w:r>
      <w:r>
        <w:rPr>
          <w:rFonts w:ascii="標楷體" w:eastAsia="標楷體" w:hAnsi="標楷體"/>
          <w:sz w:val="28"/>
        </w:rPr>
        <w:t>％及</w:t>
      </w:r>
      <w:r>
        <w:rPr>
          <w:rFonts w:ascii="標楷體" w:eastAsia="標楷體" w:hAnsi="標楷體"/>
          <w:sz w:val="28"/>
        </w:rPr>
        <w:t>6.04</w:t>
      </w:r>
      <w:r>
        <w:rPr>
          <w:rFonts w:ascii="標楷體" w:eastAsia="標楷體" w:hAnsi="標楷體"/>
          <w:sz w:val="28"/>
        </w:rPr>
        <w:t>％；本縣房屋構造以鋼筋混凝土之面積最大，加強磚造次之，兩者占全體</w:t>
      </w:r>
      <w:r>
        <w:rPr>
          <w:rFonts w:ascii="標楷體" w:eastAsia="標楷體" w:hAnsi="標楷體"/>
          <w:sz w:val="28"/>
        </w:rPr>
        <w:t>81.33%</w:t>
      </w:r>
      <w:r>
        <w:rPr>
          <w:rFonts w:ascii="標楷體" w:eastAsia="標楷體" w:hAnsi="標楷體"/>
          <w:sz w:val="28"/>
        </w:rPr>
        <w:t>。</w:t>
      </w:r>
    </w:p>
    <w:p w:rsidR="00FF3924" w:rsidRDefault="008773A1">
      <w:pPr>
        <w:pStyle w:val="Standard"/>
        <w:spacing w:before="240"/>
        <w:jc w:val="center"/>
      </w:pPr>
      <w:r>
        <w:rPr>
          <w:rFonts w:ascii="標楷體" w:eastAsia="標楷體" w:hAnsi="標楷體"/>
          <w:sz w:val="28"/>
        </w:rPr>
        <w:t>房屋稅概況比較表</w:t>
      </w:r>
    </w:p>
    <w:p w:rsidR="00FF3924" w:rsidRDefault="008773A1">
      <w:pPr>
        <w:pStyle w:val="Standard"/>
        <w:ind w:right="240"/>
        <w:jc w:val="right"/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  <w:sz w:val="20"/>
          <w:szCs w:val="20"/>
        </w:rPr>
        <w:t>單位：棟；平方</w:t>
      </w:r>
      <w:r>
        <w:rPr>
          <w:rFonts w:ascii="標楷體" w:eastAsia="標楷體" w:hAnsi="標楷體"/>
          <w:sz w:val="20"/>
          <w:szCs w:val="20"/>
        </w:rPr>
        <w:t>公尺，新臺幣千元</w:t>
      </w:r>
    </w:p>
    <w:tbl>
      <w:tblPr>
        <w:tblW w:w="787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57"/>
        <w:gridCol w:w="1079"/>
        <w:gridCol w:w="1441"/>
        <w:gridCol w:w="1440"/>
        <w:gridCol w:w="1318"/>
        <w:gridCol w:w="1435"/>
      </w:tblGrid>
      <w:tr w:rsidR="00FF3924" w:rsidTr="00FF3924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FF3924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FF3924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107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月底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108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月底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增減量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增減百分比</w:t>
            </w:r>
          </w:p>
        </w:tc>
      </w:tr>
      <w:tr w:rsidR="00FF3924" w:rsidTr="00FF3924">
        <w:tblPrEx>
          <w:tblCellMar>
            <w:top w:w="0" w:type="dxa"/>
            <w:bottom w:w="0" w:type="dxa"/>
          </w:tblCellMar>
        </w:tblPrEx>
        <w:trPr>
          <w:cantSplit/>
          <w:trHeight w:val="632"/>
          <w:jc w:val="center"/>
        </w:trPr>
        <w:tc>
          <w:tcPr>
            <w:tcW w:w="1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棟數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242,660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248,229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5,569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2.29%</w:t>
            </w:r>
          </w:p>
        </w:tc>
      </w:tr>
      <w:tr w:rsidR="00FF3924" w:rsidTr="00FF3924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FF3924"/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面積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63,125,805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64,396,809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1,271,004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2.01%</w:t>
            </w:r>
          </w:p>
        </w:tc>
      </w:tr>
      <w:tr w:rsidR="00FF3924" w:rsidTr="00FF3924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FF3924"/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現值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175,451,702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186,052,735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10,601,033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6.04%</w:t>
            </w:r>
          </w:p>
        </w:tc>
      </w:tr>
      <w:tr w:rsidR="00FF3924" w:rsidTr="00FF3924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應稅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棟數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195,868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201,287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5,419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2.77%</w:t>
            </w:r>
          </w:p>
        </w:tc>
      </w:tr>
      <w:tr w:rsidR="00FF3924" w:rsidTr="00FF3924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FF3924"/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面積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46,532,265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47,485,682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953,417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2.05%</w:t>
            </w:r>
          </w:p>
        </w:tc>
      </w:tr>
      <w:tr w:rsidR="00FF3924" w:rsidTr="00FF3924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FF3924"/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現值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131,643,975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139,291,582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7,647,607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5.81%</w:t>
            </w:r>
          </w:p>
        </w:tc>
      </w:tr>
      <w:tr w:rsidR="00FF3924" w:rsidTr="00FF3924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免稅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棟數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46,792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46,942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150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0.32%</w:t>
            </w:r>
          </w:p>
        </w:tc>
      </w:tr>
      <w:tr w:rsidR="00FF3924" w:rsidTr="00FF3924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FF3924"/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面積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16,593,540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16,911,127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317,587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1.91%</w:t>
            </w:r>
          </w:p>
        </w:tc>
      </w:tr>
      <w:tr w:rsidR="00FF3924" w:rsidTr="00FF3924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1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FF3924"/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現值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43,807,727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46,761,153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2,953,426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6.74%</w:t>
            </w:r>
          </w:p>
        </w:tc>
      </w:tr>
    </w:tbl>
    <w:p w:rsidR="00FF3924" w:rsidRDefault="008773A1">
      <w:pPr>
        <w:pStyle w:val="Standard"/>
        <w:spacing w:line="360" w:lineRule="auto"/>
        <w:ind w:firstLine="440"/>
        <w:jc w:val="both"/>
      </w:pPr>
      <w:r>
        <w:rPr>
          <w:rFonts w:ascii="標楷體" w:eastAsia="標楷體" w:hAnsi="標楷體"/>
          <w:sz w:val="22"/>
        </w:rPr>
        <w:t>附註：</w:t>
      </w:r>
      <w:r>
        <w:rPr>
          <w:rFonts w:ascii="標楷體" w:eastAsia="標楷體" w:hAnsi="標楷體"/>
          <w:sz w:val="22"/>
        </w:rPr>
        <w:t>1.</w:t>
      </w:r>
      <w:r>
        <w:rPr>
          <w:rFonts w:ascii="標楷體" w:eastAsia="標楷體" w:hAnsi="標楷體"/>
          <w:sz w:val="22"/>
        </w:rPr>
        <w:t>根據本局房屋稅科</w:t>
      </w:r>
      <w:r>
        <w:rPr>
          <w:rFonts w:ascii="標楷體" w:eastAsia="標楷體" w:hAnsi="標楷體"/>
          <w:sz w:val="22"/>
        </w:rPr>
        <w:t>107</w:t>
      </w:r>
      <w:r>
        <w:rPr>
          <w:rFonts w:ascii="標楷體" w:eastAsia="標楷體" w:hAnsi="標楷體"/>
          <w:sz w:val="22"/>
        </w:rPr>
        <w:t>、</w:t>
      </w:r>
      <w:r>
        <w:rPr>
          <w:rFonts w:ascii="標楷體" w:eastAsia="標楷體" w:hAnsi="標楷體"/>
          <w:sz w:val="22"/>
        </w:rPr>
        <w:t>108</w:t>
      </w:r>
      <w:r>
        <w:rPr>
          <w:rFonts w:ascii="標楷體" w:eastAsia="標楷體" w:hAnsi="標楷體"/>
          <w:sz w:val="22"/>
        </w:rPr>
        <w:t>年</w:t>
      </w:r>
      <w:r>
        <w:rPr>
          <w:rFonts w:ascii="標楷體" w:eastAsia="標楷體" w:hAnsi="標楷體"/>
          <w:sz w:val="22"/>
        </w:rPr>
        <w:t>20903-02-07-2</w:t>
      </w:r>
      <w:r>
        <w:rPr>
          <w:rFonts w:ascii="標楷體" w:eastAsia="標楷體" w:hAnsi="標楷體"/>
          <w:sz w:val="22"/>
        </w:rPr>
        <w:t>房屋稅籍表編製。</w:t>
      </w:r>
    </w:p>
    <w:p w:rsidR="00FF3924" w:rsidRDefault="008773A1">
      <w:pPr>
        <w:pStyle w:val="Standard"/>
        <w:spacing w:line="360" w:lineRule="auto"/>
        <w:ind w:firstLine="440"/>
        <w:jc w:val="both"/>
      </w:pPr>
      <w:r>
        <w:rPr>
          <w:rFonts w:ascii="標楷體" w:eastAsia="標楷體" w:hAnsi="標楷體"/>
          <w:sz w:val="22"/>
        </w:rPr>
        <w:t xml:space="preserve">      2.</w:t>
      </w:r>
      <w:r>
        <w:rPr>
          <w:rFonts w:ascii="標楷體" w:eastAsia="標楷體" w:hAnsi="標楷體"/>
          <w:sz w:val="22"/>
        </w:rPr>
        <w:t>本表依房屋構造統計房屋</w:t>
      </w:r>
      <w:proofErr w:type="gramStart"/>
      <w:r>
        <w:rPr>
          <w:rFonts w:ascii="標楷體" w:eastAsia="標楷體" w:hAnsi="標楷體"/>
          <w:sz w:val="22"/>
        </w:rPr>
        <w:t>棟數非房屋</w:t>
      </w:r>
      <w:proofErr w:type="gramEnd"/>
      <w:r>
        <w:rPr>
          <w:rFonts w:ascii="標楷體" w:eastAsia="標楷體" w:hAnsi="標楷體"/>
          <w:sz w:val="22"/>
        </w:rPr>
        <w:t>戶數。</w:t>
      </w:r>
    </w:p>
    <w:p w:rsidR="00FF3924" w:rsidRDefault="008773A1">
      <w:pPr>
        <w:pStyle w:val="Standard"/>
        <w:spacing w:before="280" w:after="280"/>
        <w:jc w:val="both"/>
      </w:pPr>
      <w:r>
        <w:rPr>
          <w:rFonts w:ascii="標楷體" w:eastAsia="標楷體" w:hAnsi="標楷體"/>
          <w:sz w:val="22"/>
        </w:rPr>
        <w:t xml:space="preserve"> </w:t>
      </w:r>
    </w:p>
    <w:p w:rsidR="00FF3924" w:rsidRDefault="00FF3924">
      <w:pPr>
        <w:pStyle w:val="Standard"/>
        <w:spacing w:before="280" w:after="280" w:line="360" w:lineRule="auto"/>
        <w:jc w:val="both"/>
      </w:pPr>
    </w:p>
    <w:p w:rsidR="00FF3924" w:rsidRDefault="008773A1">
      <w:pPr>
        <w:pStyle w:val="Standard"/>
        <w:spacing w:before="280" w:line="360" w:lineRule="auto"/>
        <w:ind w:firstLine="560"/>
        <w:jc w:val="both"/>
      </w:pPr>
      <w:r>
        <w:rPr>
          <w:rFonts w:ascii="標楷體" w:eastAsia="標楷體" w:hAnsi="標楷體"/>
          <w:bCs/>
          <w:sz w:val="28"/>
          <w:szCs w:val="28"/>
        </w:rPr>
        <w:t>另按納稅義務人性別分析，</w:t>
      </w:r>
      <w:r>
        <w:rPr>
          <w:rFonts w:ascii="標楷體" w:eastAsia="標楷體" w:hAnsi="標楷體"/>
          <w:sz w:val="28"/>
        </w:rPr>
        <w:t>由於近年隨著經濟發展及性別平等意識提高，在女性經濟能力提高下，女性購置不動產情形增多，且家戶財產登記逐漸跳脫性別限制，新竹縣房屋稅戶數兩性差距呈逐年拉近趨勢。</w:t>
      </w:r>
    </w:p>
    <w:p w:rsidR="00FF3924" w:rsidRDefault="008773A1">
      <w:pPr>
        <w:pStyle w:val="Standard"/>
        <w:spacing w:before="240"/>
        <w:jc w:val="center"/>
      </w:pPr>
      <w:r>
        <w:rPr>
          <w:rFonts w:ascii="標楷體" w:eastAsia="標楷體" w:hAnsi="標楷體"/>
          <w:sz w:val="28"/>
        </w:rPr>
        <w:t>房屋稅納稅義務人性別比例表</w:t>
      </w:r>
    </w:p>
    <w:p w:rsidR="00FF3924" w:rsidRDefault="008773A1">
      <w:pPr>
        <w:pStyle w:val="Standard"/>
        <w:ind w:right="240"/>
        <w:jc w:val="right"/>
      </w:pPr>
      <w:r>
        <w:rPr>
          <w:rFonts w:ascii="標楷體" w:eastAsia="標楷體" w:hAnsi="標楷體"/>
        </w:rPr>
        <w:t>單位：戶；</w:t>
      </w:r>
      <w:r>
        <w:rPr>
          <w:rFonts w:ascii="標楷體" w:eastAsia="標楷體" w:hAnsi="標楷體"/>
        </w:rPr>
        <w:t>%</w:t>
      </w:r>
    </w:p>
    <w:tbl>
      <w:tblPr>
        <w:tblW w:w="796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22"/>
        <w:gridCol w:w="1966"/>
        <w:gridCol w:w="1559"/>
        <w:gridCol w:w="1559"/>
        <w:gridCol w:w="1756"/>
      </w:tblGrid>
      <w:tr w:rsidR="00FF3924" w:rsidTr="00FF3924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1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年度</w:t>
            </w:r>
          </w:p>
        </w:tc>
        <w:tc>
          <w:tcPr>
            <w:tcW w:w="50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戶數及比例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增減量</w:t>
            </w:r>
          </w:p>
        </w:tc>
      </w:tr>
      <w:tr w:rsidR="00FF3924" w:rsidTr="00FF3924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1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FF3924"/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戶數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男性比例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女性比例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(B)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男女差比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(C)=(A)-(B)</w:t>
            </w:r>
          </w:p>
        </w:tc>
      </w:tr>
      <w:tr w:rsidR="00FF3924" w:rsidTr="00FF3924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99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187,494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60.46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39.54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  <w:color w:val="000000"/>
              </w:rPr>
              <w:t>20.92</w:t>
            </w:r>
          </w:p>
        </w:tc>
      </w:tr>
      <w:tr w:rsidR="00FF3924" w:rsidTr="00FF3924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100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192,535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60.13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39.87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  <w:color w:val="000000"/>
              </w:rPr>
              <w:t>20.26</w:t>
            </w:r>
          </w:p>
        </w:tc>
      </w:tr>
      <w:tr w:rsidR="00FF3924" w:rsidTr="00FF3924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101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197,509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59.78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40.22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  <w:color w:val="000000"/>
              </w:rPr>
              <w:t>19.57</w:t>
            </w:r>
          </w:p>
        </w:tc>
      </w:tr>
      <w:tr w:rsidR="00FF3924" w:rsidTr="00FF3924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102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203,455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59.51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40.49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  <w:color w:val="000000"/>
              </w:rPr>
              <w:t>19.01</w:t>
            </w:r>
          </w:p>
        </w:tc>
      </w:tr>
      <w:tr w:rsidR="00FF3924" w:rsidTr="00FF3924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103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209,402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59.19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40.81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  <w:color w:val="000000"/>
              </w:rPr>
              <w:t>18.39</w:t>
            </w:r>
          </w:p>
        </w:tc>
      </w:tr>
      <w:tr w:rsidR="00FF3924" w:rsidTr="00FF3924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104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229,943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59.00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41.00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  <w:color w:val="000000"/>
              </w:rPr>
              <w:t>18.01</w:t>
            </w:r>
          </w:p>
        </w:tc>
      </w:tr>
      <w:tr w:rsidR="00FF3924" w:rsidTr="00FF3924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105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237,366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58.74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41.26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  <w:color w:val="000000"/>
              </w:rPr>
              <w:t>17.48</w:t>
            </w:r>
          </w:p>
        </w:tc>
      </w:tr>
      <w:tr w:rsidR="00FF3924" w:rsidTr="00FF3924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106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246,012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58.49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41.51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  <w:color w:val="000000"/>
              </w:rPr>
              <w:t>16.97</w:t>
            </w:r>
          </w:p>
        </w:tc>
      </w:tr>
      <w:tr w:rsidR="00FF3924" w:rsidTr="00FF3924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107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252,425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58.27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41.73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  <w:color w:val="000000"/>
              </w:rPr>
              <w:t>16.55</w:t>
            </w:r>
          </w:p>
        </w:tc>
      </w:tr>
      <w:tr w:rsidR="00FF3924" w:rsidTr="00FF3924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108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259,384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58.01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41.99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F3924" w:rsidRDefault="008773A1">
            <w:pPr>
              <w:pStyle w:val="Standard"/>
              <w:jc w:val="right"/>
            </w:pPr>
            <w:r>
              <w:rPr>
                <w:rFonts w:ascii="標楷體" w:eastAsia="標楷體" w:hAnsi="標楷體"/>
                <w:color w:val="000000"/>
              </w:rPr>
              <w:t>16.02</w:t>
            </w:r>
          </w:p>
        </w:tc>
      </w:tr>
    </w:tbl>
    <w:p w:rsidR="00FF3924" w:rsidRDefault="008773A1">
      <w:pPr>
        <w:pStyle w:val="Standard"/>
        <w:spacing w:before="240" w:line="360" w:lineRule="auto"/>
        <w:ind w:firstLine="440"/>
        <w:jc w:val="right"/>
      </w:pPr>
      <w:r>
        <w:rPr>
          <w:rFonts w:ascii="標楷體" w:eastAsia="標楷體" w:hAnsi="標楷體"/>
          <w:sz w:val="22"/>
        </w:rPr>
        <w:t>資料來源：財政部網站電子書</w:t>
      </w:r>
    </w:p>
    <w:p w:rsidR="00FF3924" w:rsidRDefault="008773A1">
      <w:pPr>
        <w:pStyle w:val="Standard"/>
        <w:spacing w:before="280" w:after="280" w:line="360" w:lineRule="auto"/>
      </w:pPr>
      <w:r>
        <w:rPr>
          <w:noProof/>
        </w:rPr>
        <w:lastRenderedPageBreak/>
        <w:drawing>
          <wp:inline distT="0" distB="0" distL="0" distR="0">
            <wp:extent cx="5274359" cy="3130559"/>
            <wp:effectExtent l="0" t="0" r="0" b="0"/>
            <wp:docPr id="2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59" cy="3130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FF3924" w:rsidSect="00FF3924">
      <w:pgSz w:w="11906" w:h="16838"/>
      <w:pgMar w:top="993" w:right="1800" w:bottom="1134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A1" w:rsidRDefault="008773A1" w:rsidP="00FF3924">
      <w:r>
        <w:separator/>
      </w:r>
    </w:p>
  </w:endnote>
  <w:endnote w:type="continuationSeparator" w:id="0">
    <w:p w:rsidR="008773A1" w:rsidRDefault="008773A1" w:rsidP="00FF3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A1" w:rsidRDefault="008773A1" w:rsidP="00FF3924">
      <w:r w:rsidRPr="00FF3924">
        <w:rPr>
          <w:color w:val="000000"/>
        </w:rPr>
        <w:separator/>
      </w:r>
    </w:p>
  </w:footnote>
  <w:footnote w:type="continuationSeparator" w:id="0">
    <w:p w:rsidR="008773A1" w:rsidRDefault="008773A1" w:rsidP="00FF3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70ED"/>
    <w:multiLevelType w:val="multilevel"/>
    <w:tmpl w:val="ECBCB11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3924"/>
    <w:rsid w:val="008773A1"/>
    <w:rsid w:val="008B66AE"/>
    <w:rsid w:val="00F00A17"/>
    <w:rsid w:val="00F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3924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rsid w:val="00FF3924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FF3924"/>
    <w:pPr>
      <w:spacing w:after="140" w:line="288" w:lineRule="auto"/>
    </w:pPr>
  </w:style>
  <w:style w:type="paragraph" w:styleId="a3">
    <w:name w:val="List"/>
    <w:basedOn w:val="Textbody"/>
    <w:rsid w:val="00FF3924"/>
    <w:rPr>
      <w:rFonts w:cs="Mangal"/>
    </w:rPr>
  </w:style>
  <w:style w:type="paragraph" w:customStyle="1" w:styleId="Caption">
    <w:name w:val="Caption"/>
    <w:basedOn w:val="Standard"/>
    <w:rsid w:val="00FF392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F3924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FF3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FF3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Standard"/>
    <w:rsid w:val="00FF3924"/>
    <w:rPr>
      <w:rFonts w:ascii="Cambria" w:hAnsi="Cambria" w:cs="F"/>
      <w:sz w:val="18"/>
      <w:szCs w:val="18"/>
    </w:rPr>
  </w:style>
  <w:style w:type="character" w:customStyle="1" w:styleId="a5">
    <w:name w:val="頁首 字元"/>
    <w:basedOn w:val="a0"/>
    <w:rsid w:val="00FF3924"/>
  </w:style>
  <w:style w:type="character" w:customStyle="1" w:styleId="a6">
    <w:name w:val="頁尾 字元"/>
    <w:basedOn w:val="a0"/>
    <w:rsid w:val="00FF3924"/>
  </w:style>
  <w:style w:type="character" w:customStyle="1" w:styleId="a7">
    <w:name w:val="註解方塊文字 字元"/>
    <w:basedOn w:val="a0"/>
    <w:rsid w:val="00FF3924"/>
    <w:rPr>
      <w:rFonts w:ascii="Cambria" w:eastAsia="新細明體" w:hAnsi="Cambria" w:cs="F"/>
      <w:sz w:val="18"/>
      <w:szCs w:val="18"/>
    </w:rPr>
  </w:style>
  <w:style w:type="numbering" w:customStyle="1" w:styleId="NoList">
    <w:name w:val="No List"/>
    <w:basedOn w:val="a2"/>
    <w:rsid w:val="00FF3924"/>
    <w:pPr>
      <w:numPr>
        <w:numId w:val="1"/>
      </w:numPr>
    </w:pPr>
  </w:style>
  <w:style w:type="paragraph" w:styleId="a8">
    <w:name w:val="header"/>
    <w:basedOn w:val="a"/>
    <w:link w:val="1"/>
    <w:uiPriority w:val="99"/>
    <w:semiHidden/>
    <w:unhideWhenUsed/>
    <w:rsid w:val="008B66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頁首 字元1"/>
    <w:basedOn w:val="a0"/>
    <w:link w:val="a8"/>
    <w:uiPriority w:val="99"/>
    <w:semiHidden/>
    <w:rsid w:val="008B66AE"/>
    <w:rPr>
      <w:sz w:val="20"/>
    </w:rPr>
  </w:style>
  <w:style w:type="paragraph" w:styleId="a9">
    <w:name w:val="footer"/>
    <w:basedOn w:val="a"/>
    <w:link w:val="10"/>
    <w:uiPriority w:val="99"/>
    <w:semiHidden/>
    <w:unhideWhenUsed/>
    <w:rsid w:val="008B66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頁尾 字元1"/>
    <w:basedOn w:val="a0"/>
    <w:link w:val="a9"/>
    <w:uiPriority w:val="99"/>
    <w:semiHidden/>
    <w:rsid w:val="008B66AE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1068</Characters>
  <Application>Microsoft Office Word</Application>
  <DocSecurity>0</DocSecurity>
  <Lines>8</Lines>
  <Paragraphs>2</Paragraphs>
  <ScaleCrop>false</ScaleCrop>
  <Company>CHUTAX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賦稅統計分析</dc:title>
  <dc:creator>稅捐稽徵處</dc:creator>
  <cp:lastModifiedBy>wtlc</cp:lastModifiedBy>
  <cp:revision>2</cp:revision>
  <cp:lastPrinted>2019-08-29T02:06:00Z</cp:lastPrinted>
  <dcterms:created xsi:type="dcterms:W3CDTF">2020-08-25T08:10:00Z</dcterms:created>
  <dcterms:modified xsi:type="dcterms:W3CDTF">2020-08-25T08:10:00Z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CHUTAX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